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57BACA"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right="0"/>
        <w:jc w:val="both"/>
        <w:rPr>
          <w:rFonts w:hint="default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附件2</w:t>
      </w:r>
    </w:p>
    <w:p w14:paraId="6C67C4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  <w:highlight w:val="none"/>
        </w:rPr>
        <w:t>报价函目录</w:t>
      </w:r>
    </w:p>
    <w:p w14:paraId="394501CE">
      <w:pPr>
        <w:adjustRightInd w:val="0"/>
        <w:snapToGrid w:val="0"/>
        <w:spacing w:line="560" w:lineRule="exact"/>
        <w:ind w:firstLine="562" w:firstLineChars="200"/>
        <w:jc w:val="both"/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</w:rPr>
        <w:t>1</w:t>
      </w:r>
      <w:r>
        <w:rPr>
          <w:rFonts w:ascii="仿宋_GB2312" w:hAnsi="仿宋" w:eastAsia="仿宋_GB2312" w:cs="微软雅黑"/>
          <w:b/>
          <w:bCs w:val="0"/>
          <w:color w:val="auto"/>
          <w:sz w:val="28"/>
          <w:szCs w:val="28"/>
          <w:highlight w:val="none"/>
        </w:rPr>
        <w:t>.</w:t>
      </w:r>
      <w:r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  <w:t>资格证明文件</w:t>
      </w:r>
    </w:p>
    <w:p w14:paraId="526B7781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（1）具</w:t>
      </w:r>
      <w:r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有独立承担民事责任能力的企业或组织合法经营权的凭证（如营业执照、登记证书、执业许可证等）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；</w:t>
      </w:r>
    </w:p>
    <w:p w14:paraId="6228B51F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Hans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（2）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Hans"/>
        </w:rPr>
        <w:t>声明函；</w:t>
      </w:r>
    </w:p>
    <w:p w14:paraId="5F7C6A9C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</w:rPr>
        <w:t>信用查询情况截图；</w:t>
      </w:r>
    </w:p>
    <w:p w14:paraId="38B74476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CN"/>
        </w:rPr>
        <w:t>）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询价公告中提到的其他资格要求；</w:t>
      </w:r>
    </w:p>
    <w:p w14:paraId="5A15A99C">
      <w:pPr>
        <w:adjustRightInd w:val="0"/>
        <w:snapToGrid w:val="0"/>
        <w:spacing w:line="560" w:lineRule="exact"/>
        <w:ind w:firstLine="560" w:firstLineChars="200"/>
        <w:jc w:val="both"/>
        <w:rPr>
          <w:rFonts w:ascii="仿宋" w:hAnsi="仿宋" w:eastAsia="仿宋" w:cs="微软雅黑"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（5）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</w:rPr>
        <w:t>报价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单位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</w:rPr>
        <w:t>认为应介绍或者提交的资料、文件和说明。</w:t>
      </w:r>
    </w:p>
    <w:p w14:paraId="5DA68C04">
      <w:pPr>
        <w:adjustRightInd w:val="0"/>
        <w:snapToGrid w:val="0"/>
        <w:spacing w:line="560" w:lineRule="exact"/>
        <w:ind w:firstLine="562" w:firstLineChars="200"/>
        <w:jc w:val="both"/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  <w:t>2.企业介绍（包含企业规模、企业资质及业绩等）</w:t>
      </w:r>
    </w:p>
    <w:p w14:paraId="0D9B4A5A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（1）公司简介；</w:t>
      </w:r>
    </w:p>
    <w:p w14:paraId="1F3BE91C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（2）提供有效期内的质量管理体系认证证书、环境管理体系认证证书、职业健康安全管理体系认证证书、测量管理体系认证证书和能源管理体系认证证书复印件并加盖公章；</w:t>
      </w:r>
    </w:p>
    <w:p w14:paraId="3FC840C9">
      <w:pPr>
        <w:adjustRightInd w:val="0"/>
        <w:snapToGrid w:val="0"/>
        <w:spacing w:line="560" w:lineRule="exact"/>
        <w:ind w:firstLine="560" w:firstLineChars="200"/>
        <w:jc w:val="both"/>
        <w:rPr>
          <w:rFonts w:ascii="仿宋_GB2312" w:hAnsi="仿宋" w:eastAsia="仿宋_GB2312" w:cs="微软雅黑"/>
          <w:bCs/>
          <w:color w:val="auto"/>
          <w:sz w:val="28"/>
          <w:szCs w:val="28"/>
          <w:highlight w:val="none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（3）报价人自2022年5月1日至今（</w:t>
      </w:r>
      <w:r>
        <w:rPr>
          <w:rFonts w:ascii="仿宋_GB2312" w:hAnsi="仿宋" w:eastAsia="仿宋_GB2312" w:cs="微软雅黑"/>
          <w:bCs/>
          <w:color w:val="auto"/>
          <w:sz w:val="28"/>
          <w:szCs w:val="28"/>
          <w:highlight w:val="none"/>
        </w:rPr>
        <w:t>以合同签订时间为准）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向电力行业企业供应同类产品的业绩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单项业绩合同额不低于20万元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eastAsia="zh-CN"/>
        </w:rPr>
        <w:t>），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提供业绩清单（格式自拟）、合同复印件并加盖公章。</w:t>
      </w:r>
    </w:p>
    <w:p w14:paraId="644D5EFE">
      <w:pPr>
        <w:adjustRightInd w:val="0"/>
        <w:snapToGrid w:val="0"/>
        <w:spacing w:line="560" w:lineRule="exact"/>
        <w:ind w:firstLine="562" w:firstLineChars="200"/>
        <w:jc w:val="both"/>
        <w:rPr>
          <w:rFonts w:hint="default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  <w:t>3.项目报价</w:t>
      </w:r>
    </w:p>
    <w:p w14:paraId="039DEB90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（1）报价函；</w:t>
      </w:r>
    </w:p>
    <w:p w14:paraId="37AE218E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（2）报价单</w:t>
      </w:r>
      <w:r>
        <w:rPr>
          <w:rFonts w:hint="eastAsia" w:ascii="仿宋_GB2312" w:hAnsi="仿宋" w:cs="微软雅黑"/>
          <w:bCs/>
          <w:color w:val="auto"/>
          <w:sz w:val="28"/>
          <w:szCs w:val="28"/>
          <w:highlight w:val="none"/>
          <w:lang w:val="en-US" w:eastAsia="zh-CN"/>
        </w:rPr>
        <w:t>。</w:t>
      </w:r>
    </w:p>
    <w:p w14:paraId="0D0C8150">
      <w:pPr>
        <w:adjustRightInd w:val="0"/>
        <w:snapToGrid w:val="0"/>
        <w:spacing w:line="560" w:lineRule="exact"/>
        <w:ind w:firstLine="562" w:firstLineChars="200"/>
        <w:jc w:val="both"/>
        <w:rPr>
          <w:rFonts w:hint="default" w:ascii="仿宋_GB2312" w:hAnsi="仿宋" w:eastAsia="仿宋_GB2312" w:cs="微软雅黑"/>
          <w:b/>
          <w:bCs w:val="0"/>
          <w:strike w:val="0"/>
          <w:dstrike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/>
          <w:bCs w:val="0"/>
          <w:strike w:val="0"/>
          <w:dstrike w:val="0"/>
          <w:color w:val="auto"/>
          <w:sz w:val="28"/>
          <w:szCs w:val="28"/>
          <w:highlight w:val="none"/>
          <w:lang w:val="en-US" w:eastAsia="zh-CN"/>
        </w:rPr>
        <w:t>4.产品特性</w:t>
      </w:r>
    </w:p>
    <w:p w14:paraId="45F61565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（1）</w:t>
      </w:r>
      <w:r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  <w:t>产品材质检测报告；</w:t>
      </w:r>
    </w:p>
    <w:p w14:paraId="6F4DA28A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（2）</w:t>
      </w:r>
      <w:r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  <w:t>特种劳动防护用品安全标准证书；</w:t>
      </w:r>
    </w:p>
    <w:p w14:paraId="39B79138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（3）</w:t>
      </w:r>
      <w:r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  <w:t>技术指标参数响应偏离表；</w:t>
      </w:r>
    </w:p>
    <w:p w14:paraId="5DC0CA77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strike w:val="0"/>
          <w:dstrike w:val="0"/>
          <w:color w:val="auto"/>
          <w:sz w:val="28"/>
          <w:szCs w:val="28"/>
          <w:highlight w:val="none"/>
          <w:lang w:val="en-US" w:eastAsia="zh-CN"/>
        </w:rPr>
        <w:t>（4）节能、环保标志产品认证证书。</w:t>
      </w:r>
    </w:p>
    <w:p w14:paraId="4E0AB052">
      <w:pPr>
        <w:adjustRightInd w:val="0"/>
        <w:snapToGrid w:val="0"/>
        <w:spacing w:line="560" w:lineRule="exact"/>
        <w:ind w:firstLine="562" w:firstLineChars="200"/>
        <w:jc w:val="both"/>
        <w:rPr>
          <w:rFonts w:hint="eastAsia" w:ascii="仿宋_GB2312" w:hAnsi="仿宋" w:eastAsia="仿宋_GB2312" w:cs="微软雅黑"/>
          <w:b/>
          <w:bCs/>
          <w:color w:val="auto"/>
          <w:sz w:val="28"/>
          <w:szCs w:val="28"/>
          <w:highlight w:val="none"/>
          <w:lang w:eastAsia="zh-Hans"/>
        </w:rPr>
      </w:pPr>
      <w:r>
        <w:rPr>
          <w:rFonts w:hint="eastAsia" w:ascii="仿宋_GB2312" w:hAnsi="仿宋" w:eastAsia="仿宋_GB2312" w:cs="微软雅黑"/>
          <w:b/>
          <w:bCs/>
          <w:color w:val="auto"/>
          <w:sz w:val="28"/>
          <w:szCs w:val="28"/>
          <w:highlight w:val="none"/>
          <w:lang w:val="en-US" w:eastAsia="zh-CN"/>
        </w:rPr>
        <w:t>5.服务</w:t>
      </w:r>
      <w:r>
        <w:rPr>
          <w:rFonts w:hint="eastAsia" w:ascii="仿宋_GB2312" w:hAnsi="仿宋" w:eastAsia="仿宋_GB2312" w:cs="微软雅黑"/>
          <w:b/>
          <w:bCs/>
          <w:color w:val="auto"/>
          <w:sz w:val="28"/>
          <w:szCs w:val="28"/>
          <w:highlight w:val="none"/>
          <w:lang w:eastAsia="zh-Hans"/>
        </w:rPr>
        <w:t>方案</w:t>
      </w:r>
    </w:p>
    <w:p w14:paraId="6B24C68D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（1）质量保障方案，明确质量保证期及质量保障措施；</w:t>
      </w:r>
    </w:p>
    <w:p w14:paraId="0D9A973E">
      <w:pPr>
        <w:adjustRightInd w:val="0"/>
        <w:snapToGrid w:val="0"/>
        <w:spacing w:line="560" w:lineRule="exact"/>
        <w:ind w:firstLine="560" w:firstLineChars="200"/>
        <w:jc w:val="both"/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（2）供货组织方案，明确具体供货期；</w:t>
      </w:r>
    </w:p>
    <w:p w14:paraId="29E08259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（3）应急处理措施，明确解决突发问题、紧急事故处理的预案；</w:t>
      </w:r>
    </w:p>
    <w:p w14:paraId="35D80D42">
      <w:pPr>
        <w:adjustRightInd w:val="0"/>
        <w:snapToGrid w:val="0"/>
        <w:spacing w:line="560" w:lineRule="exact"/>
        <w:ind w:firstLine="560" w:firstLineChars="200"/>
        <w:jc w:val="both"/>
        <w:rPr>
          <w:rFonts w:hint="default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Hans"/>
        </w:rPr>
      </w:pP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（4）售后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Hans"/>
        </w:rPr>
        <w:t>线上线下服务支持方案</w:t>
      </w:r>
      <w:r>
        <w:rPr>
          <w:rFonts w:hint="eastAsia" w:ascii="仿宋_GB2312" w:hAnsi="仿宋" w:eastAsia="仿宋_GB2312" w:cs="微软雅黑"/>
          <w:bCs/>
          <w:color w:val="auto"/>
          <w:sz w:val="28"/>
          <w:szCs w:val="28"/>
          <w:highlight w:val="none"/>
          <w:lang w:val="en-US" w:eastAsia="zh-CN"/>
        </w:rPr>
        <w:t>，明确到达现场并排除缺陷时间。</w:t>
      </w:r>
    </w:p>
    <w:p w14:paraId="791AA704">
      <w:pPr>
        <w:adjustRightInd w:val="0"/>
        <w:snapToGrid w:val="0"/>
        <w:spacing w:line="560" w:lineRule="exact"/>
        <w:ind w:firstLine="562" w:firstLineChars="200"/>
        <w:jc w:val="both"/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</w:rPr>
      </w:pPr>
      <w:r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  <w:lang w:val="en-US" w:eastAsia="zh-CN"/>
        </w:rPr>
        <w:t>6.</w:t>
      </w:r>
      <w:r>
        <w:rPr>
          <w:rFonts w:hint="eastAsia" w:ascii="仿宋_GB2312" w:hAnsi="仿宋" w:eastAsia="仿宋_GB2312" w:cs="微软雅黑"/>
          <w:b/>
          <w:bCs w:val="0"/>
          <w:color w:val="auto"/>
          <w:sz w:val="28"/>
          <w:szCs w:val="28"/>
          <w:highlight w:val="none"/>
        </w:rPr>
        <w:t>报价人认为应介绍或者提交的资料、文件和说明。</w:t>
      </w:r>
    </w:p>
    <w:p w14:paraId="70699C81">
      <w:pPr>
        <w:jc w:val="both"/>
        <w:rPr>
          <w:rFonts w:hint="eastAsia" w:ascii="仿宋_GB2312" w:hAnsi="仿宋_GB2312" w:eastAsia="仿宋_GB2312" w:cs="仿宋_GB2312"/>
          <w:color w:val="auto"/>
          <w:sz w:val="24"/>
          <w:szCs w:val="24"/>
          <w:highlight w:val="none"/>
          <w:lang w:val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